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6F2D4E" w14:textId="4000AC50" w:rsidR="00486557" w:rsidRPr="00B8512E" w:rsidRDefault="00486557" w:rsidP="004865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  <w:bookmarkStart w:id="0" w:name="_GoBack"/>
      <w:bookmarkEnd w:id="0"/>
      <w:r w:rsidRPr="00B8512E">
        <w:rPr>
          <w:rFonts w:ascii="Times New Roman" w:hAnsi="Times New Roman" w:cs="Times New Roman"/>
          <w:b/>
          <w:sz w:val="24"/>
        </w:rPr>
        <w:t xml:space="preserve">A Multi-Center Retrospective Comparison of Kahook Dual Blade Goniotomy to iStent Trabecular Bypass Device </w:t>
      </w:r>
      <w:r w:rsidR="00854175" w:rsidRPr="00B8512E">
        <w:rPr>
          <w:rFonts w:ascii="Times New Roman" w:hAnsi="Times New Roman" w:cs="Times New Roman"/>
          <w:b/>
          <w:sz w:val="24"/>
        </w:rPr>
        <w:t xml:space="preserve">Implantation </w:t>
      </w:r>
      <w:r w:rsidRPr="00B8512E">
        <w:rPr>
          <w:rFonts w:ascii="Times New Roman" w:hAnsi="Times New Roman" w:cs="Times New Roman"/>
          <w:b/>
          <w:sz w:val="24"/>
        </w:rPr>
        <w:t>in Glaucoma Patients Undergoing Cataract Extraction</w:t>
      </w:r>
    </w:p>
    <w:p w14:paraId="575756CF" w14:textId="3324744C" w:rsidR="007E1E79" w:rsidRPr="00B8512E" w:rsidRDefault="007E1E79" w:rsidP="004140D5">
      <w:pPr>
        <w:rPr>
          <w:rFonts w:ascii="Times New Roman" w:hAnsi="Times New Roman" w:cs="Times New Roman"/>
          <w:b/>
          <w:bCs/>
          <w:sz w:val="24"/>
        </w:rPr>
      </w:pPr>
    </w:p>
    <w:p w14:paraId="64E9D596" w14:textId="16C55402" w:rsidR="00486557" w:rsidRPr="00B8512E" w:rsidRDefault="00486557" w:rsidP="004140D5">
      <w:pPr>
        <w:rPr>
          <w:rFonts w:ascii="Times New Roman" w:hAnsi="Times New Roman" w:cs="Times New Roman"/>
          <w:b/>
          <w:bCs/>
          <w:sz w:val="24"/>
        </w:rPr>
      </w:pPr>
      <w:r w:rsidRPr="00B8512E">
        <w:rPr>
          <w:rFonts w:ascii="Times New Roman" w:hAnsi="Times New Roman" w:cs="Times New Roman"/>
          <w:b/>
          <w:bCs/>
          <w:sz w:val="24"/>
        </w:rPr>
        <w:t>Abstract</w:t>
      </w:r>
    </w:p>
    <w:p w14:paraId="5BB86B53" w14:textId="2FD0B9E7" w:rsidR="0099616F" w:rsidRPr="00B8512E" w:rsidRDefault="001A0A94" w:rsidP="004140D5">
      <w:pPr>
        <w:rPr>
          <w:rFonts w:ascii="Times New Roman" w:hAnsi="Times New Roman" w:cs="Times New Roman"/>
          <w:bCs/>
          <w:sz w:val="24"/>
        </w:rPr>
      </w:pPr>
      <w:r w:rsidRPr="00B8512E">
        <w:rPr>
          <w:rFonts w:ascii="Times New Roman" w:hAnsi="Times New Roman" w:cs="Times New Roman"/>
          <w:b/>
          <w:bCs/>
          <w:sz w:val="24"/>
        </w:rPr>
        <w:t xml:space="preserve">Purpose: </w:t>
      </w:r>
      <w:r w:rsidR="00D0691F" w:rsidRPr="00B8512E">
        <w:rPr>
          <w:rFonts w:ascii="Times New Roman" w:hAnsi="Times New Roman" w:cs="Times New Roman"/>
          <w:bCs/>
          <w:sz w:val="24"/>
        </w:rPr>
        <w:t xml:space="preserve">To </w:t>
      </w:r>
      <w:r w:rsidR="00D41DC7" w:rsidRPr="00B8512E">
        <w:rPr>
          <w:rFonts w:ascii="Times New Roman" w:hAnsi="Times New Roman" w:cs="Times New Roman"/>
          <w:bCs/>
          <w:sz w:val="24"/>
        </w:rPr>
        <w:t xml:space="preserve">compare </w:t>
      </w:r>
      <w:r w:rsidR="00D0691F" w:rsidRPr="00B8512E">
        <w:rPr>
          <w:rFonts w:ascii="Times New Roman" w:hAnsi="Times New Roman" w:cs="Times New Roman"/>
          <w:bCs/>
          <w:sz w:val="24"/>
        </w:rPr>
        <w:t xml:space="preserve">outcomes </w:t>
      </w:r>
      <w:r w:rsidR="00D41DC7" w:rsidRPr="00B8512E">
        <w:rPr>
          <w:rFonts w:ascii="Times New Roman" w:hAnsi="Times New Roman" w:cs="Times New Roman"/>
          <w:bCs/>
          <w:sz w:val="24"/>
        </w:rPr>
        <w:t xml:space="preserve">in eyes with cataract and 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mild to moderate glaucoma </w:t>
      </w:r>
      <w:r w:rsidR="00D41DC7" w:rsidRPr="00B8512E">
        <w:rPr>
          <w:rFonts w:ascii="Times New Roman" w:hAnsi="Times New Roman" w:cs="Times New Roman"/>
          <w:bCs/>
          <w:sz w:val="24"/>
        </w:rPr>
        <w:t>underg</w:t>
      </w:r>
      <w:r w:rsidR="005575E4" w:rsidRPr="00B8512E">
        <w:rPr>
          <w:rFonts w:ascii="Times New Roman" w:hAnsi="Times New Roman" w:cs="Times New Roman"/>
          <w:bCs/>
          <w:sz w:val="24"/>
        </w:rPr>
        <w:t xml:space="preserve">oing phacoemulsification </w:t>
      </w:r>
      <w:r w:rsidR="00B43A9D" w:rsidRPr="00B8512E">
        <w:rPr>
          <w:rFonts w:ascii="Times New Roman" w:hAnsi="Times New Roman" w:cs="Times New Roman"/>
          <w:bCs/>
          <w:sz w:val="24"/>
        </w:rPr>
        <w:t>with</w:t>
      </w:r>
      <w:r w:rsidR="00D41DC7" w:rsidRPr="00B8512E">
        <w:rPr>
          <w:rFonts w:ascii="Times New Roman" w:hAnsi="Times New Roman" w:cs="Times New Roman"/>
          <w:bCs/>
          <w:sz w:val="24"/>
        </w:rPr>
        <w:t xml:space="preserve"> Kahook Dual Blade 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(KDB) </w:t>
      </w:r>
      <w:r w:rsidR="00D41DC7" w:rsidRPr="00B8512E">
        <w:rPr>
          <w:rFonts w:ascii="Times New Roman" w:hAnsi="Times New Roman" w:cs="Times New Roman"/>
          <w:bCs/>
          <w:sz w:val="24"/>
        </w:rPr>
        <w:t xml:space="preserve">goniotomy or iStent trabecular bypass. </w:t>
      </w:r>
      <w:r w:rsidRPr="00B8512E">
        <w:rPr>
          <w:rFonts w:ascii="Times New Roman" w:hAnsi="Times New Roman" w:cs="Times New Roman"/>
          <w:b/>
          <w:bCs/>
          <w:sz w:val="24"/>
        </w:rPr>
        <w:t>Methods:</w:t>
      </w:r>
      <w:r w:rsidRPr="00B8512E">
        <w:rPr>
          <w:rFonts w:ascii="Times New Roman" w:hAnsi="Times New Roman" w:cs="Times New Roman"/>
          <w:bCs/>
          <w:sz w:val="24"/>
        </w:rPr>
        <w:t xml:space="preserve"> </w:t>
      </w:r>
      <w:r w:rsidR="00521A1E" w:rsidRPr="00B8512E">
        <w:rPr>
          <w:rFonts w:ascii="Times New Roman" w:hAnsi="Times New Roman" w:cs="Times New Roman"/>
          <w:bCs/>
          <w:sz w:val="24"/>
        </w:rPr>
        <w:t xml:space="preserve">Retrospective analysis of 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intraocular pressure (IOP) and IOP medication reduction in </w:t>
      </w:r>
      <w:r w:rsidR="00E43FDF" w:rsidRPr="00B8512E">
        <w:rPr>
          <w:rFonts w:ascii="Times New Roman" w:hAnsi="Times New Roman" w:cs="Times New Roman"/>
          <w:bCs/>
          <w:sz w:val="24"/>
        </w:rPr>
        <w:t xml:space="preserve">eyes </w:t>
      </w:r>
      <w:r w:rsidR="00D41DC7" w:rsidRPr="00B8512E">
        <w:rPr>
          <w:rFonts w:ascii="Times New Roman" w:hAnsi="Times New Roman" w:cs="Times New Roman"/>
          <w:bCs/>
          <w:sz w:val="24"/>
        </w:rPr>
        <w:t>underg</w:t>
      </w:r>
      <w:r w:rsidR="00322436" w:rsidRPr="00B8512E">
        <w:rPr>
          <w:rFonts w:ascii="Times New Roman" w:hAnsi="Times New Roman" w:cs="Times New Roman"/>
          <w:bCs/>
          <w:sz w:val="24"/>
        </w:rPr>
        <w:t>oing phaco</w:t>
      </w:r>
      <w:r w:rsidR="00D41DC7" w:rsidRPr="00B8512E">
        <w:rPr>
          <w:rFonts w:ascii="Times New Roman" w:hAnsi="Times New Roman" w:cs="Times New Roman"/>
          <w:bCs/>
          <w:sz w:val="24"/>
        </w:rPr>
        <w:t xml:space="preserve"> with KDB goniotomy </w:t>
      </w:r>
      <w:r w:rsidR="00B43A9D" w:rsidRPr="00B8512E">
        <w:rPr>
          <w:rFonts w:ascii="Times New Roman" w:hAnsi="Times New Roman" w:cs="Times New Roman"/>
          <w:bCs/>
          <w:sz w:val="24"/>
        </w:rPr>
        <w:t>(n=</w:t>
      </w:r>
      <w:r w:rsidR="00BD23EF" w:rsidRPr="00B8512E">
        <w:rPr>
          <w:rFonts w:ascii="Times New Roman" w:hAnsi="Times New Roman" w:cs="Times New Roman"/>
          <w:bCs/>
          <w:sz w:val="24"/>
        </w:rPr>
        <w:t>237</w:t>
      </w:r>
      <w:r w:rsidR="00FF3389" w:rsidRPr="00B8512E">
        <w:rPr>
          <w:rFonts w:ascii="Times New Roman" w:hAnsi="Times New Roman" w:cs="Times New Roman"/>
          <w:bCs/>
          <w:sz w:val="24"/>
        </w:rPr>
        <w:t>) or iStent (n=</w:t>
      </w:r>
      <w:r w:rsidR="00BD23EF" w:rsidRPr="00B8512E">
        <w:rPr>
          <w:rFonts w:ascii="Times New Roman" w:hAnsi="Times New Roman" w:cs="Times New Roman"/>
          <w:bCs/>
          <w:sz w:val="24"/>
        </w:rPr>
        <w:t>198</w:t>
      </w:r>
      <w:r w:rsidR="00FF3389" w:rsidRPr="00B8512E">
        <w:rPr>
          <w:rFonts w:ascii="Times New Roman" w:hAnsi="Times New Roman" w:cs="Times New Roman"/>
          <w:bCs/>
          <w:sz w:val="24"/>
        </w:rPr>
        <w:t>)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 </w:t>
      </w:r>
      <w:r w:rsidR="00DF5FE8" w:rsidRPr="00B8512E">
        <w:rPr>
          <w:rFonts w:ascii="Times New Roman" w:hAnsi="Times New Roman" w:cs="Times New Roman"/>
          <w:bCs/>
          <w:sz w:val="24"/>
        </w:rPr>
        <w:t>with 6 months’ follow-up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. </w:t>
      </w:r>
      <w:r w:rsidR="00C64B1F" w:rsidRPr="00B8512E">
        <w:rPr>
          <w:rFonts w:ascii="Times New Roman" w:hAnsi="Times New Roman" w:cs="Times New Roman"/>
          <w:b/>
          <w:bCs/>
          <w:sz w:val="24"/>
        </w:rPr>
        <w:t>Results:</w:t>
      </w:r>
      <w:r w:rsidR="00AC2FE8" w:rsidRPr="00B8512E">
        <w:rPr>
          <w:rFonts w:ascii="Times New Roman" w:hAnsi="Times New Roman" w:cs="Times New Roman"/>
          <w:b/>
          <w:bCs/>
          <w:sz w:val="24"/>
        </w:rPr>
        <w:t xml:space="preserve"> </w:t>
      </w:r>
      <w:r w:rsidR="009B593C" w:rsidRPr="00B8512E">
        <w:rPr>
          <w:rFonts w:ascii="Times New Roman" w:hAnsi="Times New Roman" w:cs="Times New Roman"/>
          <w:bCs/>
          <w:sz w:val="24"/>
        </w:rPr>
        <w:t>Mean</w:t>
      </w:r>
      <w:r w:rsidR="009B593C" w:rsidRPr="00B8512E">
        <w:rPr>
          <w:rFonts w:ascii="Times New Roman" w:hAnsi="Times New Roman" w:cs="Times New Roman"/>
          <w:b/>
          <w:bCs/>
          <w:sz w:val="24"/>
        </w:rPr>
        <w:t xml:space="preserve"> </w:t>
      </w:r>
      <w:r w:rsidR="009B593C" w:rsidRPr="00B8512E">
        <w:rPr>
          <w:rFonts w:ascii="Times New Roman" w:hAnsi="Times New Roman" w:cs="Times New Roman"/>
          <w:bCs/>
          <w:sz w:val="24"/>
        </w:rPr>
        <w:t>IOP in t</w:t>
      </w:r>
      <w:r w:rsidR="00FF3389" w:rsidRPr="00B8512E">
        <w:rPr>
          <w:rFonts w:ascii="Times New Roman" w:hAnsi="Times New Roman" w:cs="Times New Roman"/>
          <w:bCs/>
          <w:sz w:val="24"/>
        </w:rPr>
        <w:t>he KDB group decreased from 17.9 ± 4.4 mmHg at baseline to 13.6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 ± 2.7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 mmHg at month 6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 (p</w:t>
      </w:r>
      <w:r w:rsidR="00BD23EF" w:rsidRPr="00B8512E">
        <w:rPr>
          <w:rFonts w:ascii="Times New Roman" w:hAnsi="Times New Roman" w:cs="Times New Roman"/>
          <w:bCs/>
          <w:sz w:val="24"/>
        </w:rPr>
        <w:t>&lt;0.001</w:t>
      </w:r>
      <w:r w:rsidR="00A461B2" w:rsidRPr="00B8512E">
        <w:rPr>
          <w:rFonts w:ascii="Times New Roman" w:hAnsi="Times New Roman" w:cs="Times New Roman"/>
          <w:bCs/>
          <w:sz w:val="24"/>
        </w:rPr>
        <w:t>)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, with 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mean </w:t>
      </w:r>
      <w:r w:rsidR="009B593C" w:rsidRPr="00B8512E">
        <w:rPr>
          <w:rFonts w:ascii="Times New Roman" w:hAnsi="Times New Roman" w:cs="Times New Roman"/>
          <w:bCs/>
          <w:sz w:val="24"/>
        </w:rPr>
        <w:t>medicati</w:t>
      </w:r>
      <w:r w:rsidR="009563AD" w:rsidRPr="00B8512E">
        <w:rPr>
          <w:rFonts w:ascii="Times New Roman" w:hAnsi="Times New Roman" w:cs="Times New Roman"/>
          <w:bCs/>
          <w:sz w:val="24"/>
        </w:rPr>
        <w:t>on use decreasing from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 1.</w:t>
      </w:r>
      <w:r w:rsidR="00FF3389" w:rsidRPr="00B8512E">
        <w:rPr>
          <w:rFonts w:ascii="Times New Roman" w:hAnsi="Times New Roman" w:cs="Times New Roman"/>
          <w:bCs/>
          <w:sz w:val="24"/>
        </w:rPr>
        <w:t>7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 ± 0.9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 to 0.6</w:t>
      </w:r>
      <w:r w:rsidR="00322436" w:rsidRPr="00B8512E">
        <w:rPr>
          <w:rFonts w:ascii="Times New Roman" w:hAnsi="Times New Roman" w:cs="Times New Roman"/>
          <w:bCs/>
          <w:sz w:val="24"/>
        </w:rPr>
        <w:t xml:space="preserve"> </w:t>
      </w:r>
      <w:r w:rsidR="00FF3389" w:rsidRPr="00B8512E">
        <w:rPr>
          <w:rFonts w:ascii="Times New Roman" w:hAnsi="Times New Roman" w:cs="Times New Roman"/>
          <w:bCs/>
          <w:sz w:val="24"/>
        </w:rPr>
        <w:t>± 1.0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 (p</w:t>
      </w:r>
      <w:r w:rsidR="00BD23EF" w:rsidRPr="00B8512E">
        <w:rPr>
          <w:rFonts w:ascii="Times New Roman" w:hAnsi="Times New Roman" w:cs="Times New Roman"/>
          <w:bCs/>
          <w:sz w:val="24"/>
        </w:rPr>
        <w:t>&lt;0.001</w:t>
      </w:r>
      <w:r w:rsidR="00A461B2" w:rsidRPr="00B8512E">
        <w:rPr>
          <w:rFonts w:ascii="Times New Roman" w:hAnsi="Times New Roman" w:cs="Times New Roman"/>
          <w:bCs/>
          <w:sz w:val="24"/>
        </w:rPr>
        <w:t>)</w:t>
      </w:r>
      <w:r w:rsidR="00FD627B" w:rsidRPr="00B8512E">
        <w:rPr>
          <w:rFonts w:ascii="Times New Roman" w:hAnsi="Times New Roman" w:cs="Times New Roman"/>
          <w:bCs/>
          <w:sz w:val="24"/>
        </w:rPr>
        <w:t>. I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n the iStent group, mean IOP decreased from </w:t>
      </w:r>
      <w:r w:rsidR="00FF3389" w:rsidRPr="00B8512E">
        <w:rPr>
          <w:rFonts w:ascii="Times New Roman" w:hAnsi="Times New Roman" w:cs="Times New Roman"/>
          <w:bCs/>
          <w:sz w:val="24"/>
        </w:rPr>
        <w:t>16.7 ± 4.4 mmHg to 13.9 ± 2.7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 mmHg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 (</w:t>
      </w:r>
      <w:r w:rsidR="00181F76" w:rsidRPr="00B8512E">
        <w:rPr>
          <w:rFonts w:ascii="Times New Roman" w:hAnsi="Times New Roman" w:cs="Times New Roman"/>
          <w:bCs/>
          <w:sz w:val="24"/>
        </w:rPr>
        <w:t>p&lt;0.001</w:t>
      </w:r>
      <w:r w:rsidR="00A461B2" w:rsidRPr="00B8512E">
        <w:rPr>
          <w:rFonts w:ascii="Times New Roman" w:hAnsi="Times New Roman" w:cs="Times New Roman"/>
          <w:bCs/>
          <w:sz w:val="24"/>
        </w:rPr>
        <w:t>)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, with 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mean </w:t>
      </w:r>
      <w:r w:rsidR="009B593C" w:rsidRPr="00B8512E">
        <w:rPr>
          <w:rFonts w:ascii="Times New Roman" w:hAnsi="Times New Roman" w:cs="Times New Roman"/>
          <w:bCs/>
          <w:sz w:val="24"/>
        </w:rPr>
        <w:t>medication use decre</w:t>
      </w:r>
      <w:r w:rsidR="00FF3389" w:rsidRPr="00B8512E">
        <w:rPr>
          <w:rFonts w:ascii="Times New Roman" w:hAnsi="Times New Roman" w:cs="Times New Roman"/>
          <w:bCs/>
          <w:sz w:val="24"/>
        </w:rPr>
        <w:t>asing from 1.9 ± 0.9 to 1.0 ± 1.0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 (</w:t>
      </w:r>
      <w:r w:rsidR="00181F76" w:rsidRPr="00B8512E">
        <w:rPr>
          <w:rFonts w:ascii="Times New Roman" w:hAnsi="Times New Roman" w:cs="Times New Roman"/>
          <w:bCs/>
          <w:sz w:val="24"/>
        </w:rPr>
        <w:t>p&lt;0.001</w:t>
      </w:r>
      <w:r w:rsidR="00A461B2" w:rsidRPr="00B8512E">
        <w:rPr>
          <w:rFonts w:ascii="Times New Roman" w:hAnsi="Times New Roman" w:cs="Times New Roman"/>
          <w:bCs/>
          <w:sz w:val="24"/>
        </w:rPr>
        <w:t>)</w:t>
      </w:r>
      <w:r w:rsidR="009B593C" w:rsidRPr="00B8512E">
        <w:rPr>
          <w:rFonts w:ascii="Times New Roman" w:hAnsi="Times New Roman" w:cs="Times New Roman"/>
          <w:bCs/>
          <w:sz w:val="24"/>
        </w:rPr>
        <w:t>. Mean IOP reductions</w:t>
      </w:r>
      <w:r w:rsidR="00181F76" w:rsidRPr="00B8512E">
        <w:rPr>
          <w:rFonts w:ascii="Times New Roman" w:hAnsi="Times New Roman" w:cs="Times New Roman"/>
          <w:bCs/>
          <w:sz w:val="24"/>
        </w:rPr>
        <w:t xml:space="preserve"> from baseline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 </w:t>
      </w:r>
      <w:r w:rsidR="00181F76" w:rsidRPr="00B8512E">
        <w:rPr>
          <w:rFonts w:ascii="Times New Roman" w:hAnsi="Times New Roman" w:cs="Times New Roman"/>
          <w:bCs/>
          <w:sz w:val="24"/>
        </w:rPr>
        <w:t>w</w:t>
      </w:r>
      <w:r w:rsidR="00B82800" w:rsidRPr="00B8512E">
        <w:rPr>
          <w:rFonts w:ascii="Times New Roman" w:hAnsi="Times New Roman" w:cs="Times New Roman"/>
          <w:bCs/>
          <w:sz w:val="24"/>
        </w:rPr>
        <w:t>ere</w:t>
      </w:r>
      <w:r w:rsidR="00181F76" w:rsidRPr="00B8512E">
        <w:rPr>
          <w:rFonts w:ascii="Times New Roman" w:hAnsi="Times New Roman" w:cs="Times New Roman"/>
          <w:bCs/>
          <w:sz w:val="24"/>
        </w:rPr>
        <w:t xml:space="preserve"> significantly</w:t>
      </w:r>
      <w:r w:rsidR="00B82800" w:rsidRPr="00B8512E">
        <w:rPr>
          <w:rFonts w:ascii="Times New Roman" w:hAnsi="Times New Roman" w:cs="Times New Roman"/>
          <w:bCs/>
          <w:sz w:val="24"/>
        </w:rPr>
        <w:t xml:space="preserve"> greater</w:t>
      </w:r>
      <w:r w:rsidR="00181F76" w:rsidRPr="00B8512E">
        <w:rPr>
          <w:rFonts w:ascii="Times New Roman" w:hAnsi="Times New Roman" w:cs="Times New Roman"/>
          <w:bCs/>
          <w:sz w:val="24"/>
        </w:rPr>
        <w:t xml:space="preserve"> </w:t>
      </w:r>
      <w:r w:rsidR="00B82800" w:rsidRPr="00B8512E">
        <w:rPr>
          <w:rFonts w:ascii="Times New Roman" w:hAnsi="Times New Roman" w:cs="Times New Roman"/>
          <w:bCs/>
          <w:sz w:val="24"/>
        </w:rPr>
        <w:t xml:space="preserve">in </w:t>
      </w:r>
      <w:r w:rsidR="00181F76" w:rsidRPr="00B8512E">
        <w:rPr>
          <w:rFonts w:ascii="Times New Roman" w:hAnsi="Times New Roman" w:cs="Times New Roman"/>
          <w:bCs/>
          <w:sz w:val="24"/>
        </w:rPr>
        <w:t>the KDB group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 at Month 6 (KDB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 -4.2 mmHg [23.7%] 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vs iStent </w:t>
      </w:r>
      <w:r w:rsidR="00FF3389" w:rsidRPr="00B8512E">
        <w:rPr>
          <w:rFonts w:ascii="Times New Roman" w:hAnsi="Times New Roman" w:cs="Times New Roman"/>
          <w:bCs/>
          <w:sz w:val="24"/>
        </w:rPr>
        <w:t>-2.7 mmHg [16.4%]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; </w:t>
      </w:r>
      <w:r w:rsidR="00181F76" w:rsidRPr="00B8512E">
        <w:rPr>
          <w:rFonts w:ascii="Times New Roman" w:hAnsi="Times New Roman" w:cs="Times New Roman"/>
          <w:bCs/>
          <w:sz w:val="24"/>
        </w:rPr>
        <w:t>p&lt;0.001</w:t>
      </w:r>
      <w:r w:rsidR="00081DF9" w:rsidRPr="00B8512E">
        <w:rPr>
          <w:rFonts w:ascii="Times New Roman" w:hAnsi="Times New Roman" w:cs="Times New Roman"/>
          <w:bCs/>
          <w:sz w:val="24"/>
        </w:rPr>
        <w:t xml:space="preserve">). 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IOP reductions </w:t>
      </w:r>
      <w:r w:rsidR="00A461B2" w:rsidRPr="00B8512E">
        <w:rPr>
          <w:rFonts w:ascii="Times New Roman" w:hAnsi="Times New Roman" w:cs="Times New Roman"/>
          <w:bCs/>
          <w:sz w:val="24"/>
          <w:u w:val="single"/>
        </w:rPr>
        <w:t>&gt;</w:t>
      </w:r>
      <w:r w:rsidR="00A461B2" w:rsidRPr="00B8512E">
        <w:rPr>
          <w:rFonts w:ascii="Times New Roman" w:hAnsi="Times New Roman" w:cs="Times New Roman"/>
          <w:bCs/>
          <w:sz w:val="24"/>
        </w:rPr>
        <w:t>20% at Month 6 were achieved by 56.1% and 43.9% in the KDB and iStent groups, respectively (</w:t>
      </w:r>
      <w:r w:rsidR="00181F76" w:rsidRPr="00B8512E">
        <w:rPr>
          <w:rFonts w:ascii="Times New Roman" w:hAnsi="Times New Roman" w:cs="Times New Roman"/>
          <w:bCs/>
          <w:sz w:val="24"/>
        </w:rPr>
        <w:t>p=0.011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). </w:t>
      </w:r>
      <w:r w:rsidR="00081DF9" w:rsidRPr="00B8512E">
        <w:rPr>
          <w:rFonts w:ascii="Times New Roman" w:hAnsi="Times New Roman" w:cs="Times New Roman"/>
          <w:bCs/>
          <w:sz w:val="24"/>
        </w:rPr>
        <w:t>M</w:t>
      </w:r>
      <w:r w:rsidR="009B593C" w:rsidRPr="00B8512E">
        <w:rPr>
          <w:rFonts w:ascii="Times New Roman" w:hAnsi="Times New Roman" w:cs="Times New Roman"/>
          <w:bCs/>
          <w:sz w:val="24"/>
        </w:rPr>
        <w:t>edication reduction was greater in the KDB group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 (-1.0 [62.9%] vs -0.6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 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[46.1%] </w:t>
      </w:r>
      <w:r w:rsidR="009563AD" w:rsidRPr="00B8512E">
        <w:rPr>
          <w:rFonts w:ascii="Times New Roman" w:hAnsi="Times New Roman" w:cs="Times New Roman"/>
          <w:bCs/>
          <w:sz w:val="24"/>
        </w:rPr>
        <w:t>meds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, respectively; </w:t>
      </w:r>
      <w:r w:rsidR="00073748" w:rsidRPr="00B8512E">
        <w:rPr>
          <w:rFonts w:ascii="Times New Roman" w:hAnsi="Times New Roman" w:cs="Times New Roman"/>
          <w:bCs/>
          <w:sz w:val="24"/>
        </w:rPr>
        <w:t>p=0.00</w:t>
      </w:r>
      <w:r w:rsidR="00181F76" w:rsidRPr="00B8512E">
        <w:rPr>
          <w:rFonts w:ascii="Times New Roman" w:hAnsi="Times New Roman" w:cs="Times New Roman"/>
          <w:bCs/>
          <w:sz w:val="24"/>
        </w:rPr>
        <w:t>1</w:t>
      </w:r>
      <w:r w:rsidR="009B593C" w:rsidRPr="00B8512E">
        <w:rPr>
          <w:rFonts w:ascii="Times New Roman" w:hAnsi="Times New Roman" w:cs="Times New Roman"/>
          <w:bCs/>
          <w:sz w:val="24"/>
        </w:rPr>
        <w:t xml:space="preserve">). 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More KDB than iStent eyes discontinued </w:t>
      </w:r>
      <w:r w:rsidR="005A7F6D" w:rsidRPr="00B8512E">
        <w:rPr>
          <w:rFonts w:ascii="Times New Roman" w:hAnsi="Times New Roman" w:cs="Times New Roman"/>
          <w:bCs/>
          <w:sz w:val="24"/>
          <w:u w:val="single"/>
        </w:rPr>
        <w:t>&gt;</w:t>
      </w:r>
      <w:r w:rsidR="005A7F6D" w:rsidRPr="00B8512E">
        <w:rPr>
          <w:rFonts w:ascii="Times New Roman" w:hAnsi="Times New Roman" w:cs="Times New Roman"/>
          <w:bCs/>
          <w:sz w:val="24"/>
        </w:rPr>
        <w:t xml:space="preserve">1 </w:t>
      </w:r>
      <w:r w:rsidR="00A461B2" w:rsidRPr="00B8512E">
        <w:rPr>
          <w:rFonts w:ascii="Times New Roman" w:hAnsi="Times New Roman" w:cs="Times New Roman"/>
          <w:bCs/>
          <w:sz w:val="24"/>
        </w:rPr>
        <w:t>medication by Month 6 (77.6% versus 64.1%, respectively; p=</w:t>
      </w:r>
      <w:r w:rsidR="00181F76" w:rsidRPr="00B8512E">
        <w:rPr>
          <w:rFonts w:ascii="Times New Roman" w:hAnsi="Times New Roman" w:cs="Times New Roman"/>
          <w:bCs/>
          <w:sz w:val="24"/>
        </w:rPr>
        <w:t>0.002</w:t>
      </w:r>
      <w:r w:rsidR="00A461B2" w:rsidRPr="00B8512E">
        <w:rPr>
          <w:rFonts w:ascii="Times New Roman" w:hAnsi="Times New Roman" w:cs="Times New Roman"/>
          <w:bCs/>
          <w:sz w:val="24"/>
        </w:rPr>
        <w:t xml:space="preserve">). </w:t>
      </w:r>
      <w:r w:rsidR="005A7F6D" w:rsidRPr="00B8512E">
        <w:rPr>
          <w:rFonts w:ascii="Times New Roman" w:hAnsi="Times New Roman" w:cs="Times New Roman"/>
          <w:bCs/>
          <w:sz w:val="24"/>
        </w:rPr>
        <w:t>Mean v</w:t>
      </w:r>
      <w:r w:rsidR="00FF3389" w:rsidRPr="00B8512E">
        <w:rPr>
          <w:rFonts w:ascii="Times New Roman" w:hAnsi="Times New Roman" w:cs="Times New Roman"/>
          <w:bCs/>
          <w:sz w:val="24"/>
        </w:rPr>
        <w:t xml:space="preserve">isual acuity improved from 0.4 ± 0.3 to 0.1 ± 0.2 logMAR in both groups. </w:t>
      </w:r>
      <w:r w:rsidR="005E15AD" w:rsidRPr="00B8512E">
        <w:rPr>
          <w:rFonts w:ascii="Times New Roman" w:hAnsi="Times New Roman" w:cs="Times New Roman"/>
          <w:bCs/>
          <w:sz w:val="24"/>
        </w:rPr>
        <w:t xml:space="preserve">Intraoperative </w:t>
      </w:r>
      <w:r w:rsidR="00854175" w:rsidRPr="00B8512E">
        <w:rPr>
          <w:rFonts w:ascii="Times New Roman" w:hAnsi="Times New Roman" w:cs="Times New Roman"/>
          <w:bCs/>
          <w:sz w:val="24"/>
        </w:rPr>
        <w:t>blood reflux</w:t>
      </w:r>
      <w:r w:rsidR="005E15AD" w:rsidRPr="00B8512E">
        <w:rPr>
          <w:rFonts w:ascii="Times New Roman" w:hAnsi="Times New Roman" w:cs="Times New Roman"/>
          <w:bCs/>
          <w:sz w:val="24"/>
        </w:rPr>
        <w:t xml:space="preserve"> was mo</w:t>
      </w:r>
      <w:r w:rsidR="00B82800" w:rsidRPr="00B8512E">
        <w:rPr>
          <w:rFonts w:ascii="Times New Roman" w:hAnsi="Times New Roman" w:cs="Times New Roman"/>
          <w:bCs/>
          <w:sz w:val="24"/>
        </w:rPr>
        <w:t>re common in the KDB group (</w:t>
      </w:r>
      <w:r w:rsidR="005E15AD" w:rsidRPr="00B8512E">
        <w:rPr>
          <w:rFonts w:ascii="Times New Roman" w:hAnsi="Times New Roman" w:cs="Times New Roman"/>
          <w:bCs/>
          <w:sz w:val="24"/>
        </w:rPr>
        <w:t>23.6%) c</w:t>
      </w:r>
      <w:r w:rsidR="00B82800" w:rsidRPr="00B8512E">
        <w:rPr>
          <w:rFonts w:ascii="Times New Roman" w:hAnsi="Times New Roman" w:cs="Times New Roman"/>
          <w:bCs/>
          <w:sz w:val="24"/>
        </w:rPr>
        <w:t>ompared to the iStent group (</w:t>
      </w:r>
      <w:r w:rsidR="005E15AD" w:rsidRPr="00B8512E">
        <w:rPr>
          <w:rFonts w:ascii="Times New Roman" w:hAnsi="Times New Roman" w:cs="Times New Roman"/>
          <w:bCs/>
          <w:sz w:val="24"/>
        </w:rPr>
        <w:t xml:space="preserve">2%). </w:t>
      </w:r>
      <w:r w:rsidR="001C24EE" w:rsidRPr="00B8512E">
        <w:rPr>
          <w:rFonts w:ascii="Times New Roman" w:hAnsi="Times New Roman" w:cs="Times New Roman"/>
          <w:b/>
          <w:bCs/>
          <w:sz w:val="24"/>
        </w:rPr>
        <w:t>Co</w:t>
      </w:r>
      <w:r w:rsidR="00E872F8" w:rsidRPr="00B8512E">
        <w:rPr>
          <w:rFonts w:ascii="Times New Roman" w:hAnsi="Times New Roman" w:cs="Times New Roman"/>
          <w:b/>
          <w:bCs/>
          <w:sz w:val="24"/>
        </w:rPr>
        <w:t>nclusions:</w:t>
      </w:r>
      <w:r w:rsidR="00E43FDF" w:rsidRPr="00B8512E">
        <w:rPr>
          <w:rFonts w:ascii="Times New Roman" w:hAnsi="Times New Roman" w:cs="Times New Roman"/>
          <w:bCs/>
          <w:sz w:val="24"/>
        </w:rPr>
        <w:t xml:space="preserve"> </w:t>
      </w:r>
      <w:r w:rsidR="00E872F8" w:rsidRPr="00B8512E">
        <w:rPr>
          <w:rFonts w:ascii="Times New Roman" w:hAnsi="Times New Roman" w:cs="Times New Roman"/>
          <w:bCs/>
          <w:sz w:val="24"/>
        </w:rPr>
        <w:t>KDB</w:t>
      </w:r>
      <w:r w:rsidR="00E43FDF" w:rsidRPr="00B8512E">
        <w:rPr>
          <w:rFonts w:ascii="Times New Roman" w:hAnsi="Times New Roman" w:cs="Times New Roman"/>
          <w:bCs/>
          <w:sz w:val="24"/>
        </w:rPr>
        <w:t xml:space="preserve"> goniotomy </w:t>
      </w:r>
      <w:r w:rsidR="00081DF9" w:rsidRPr="00B8512E">
        <w:rPr>
          <w:rFonts w:ascii="Times New Roman" w:hAnsi="Times New Roman" w:cs="Times New Roman"/>
          <w:bCs/>
          <w:sz w:val="24"/>
        </w:rPr>
        <w:t>yields</w:t>
      </w:r>
      <w:r w:rsidR="00B82800" w:rsidRPr="00B8512E">
        <w:rPr>
          <w:rFonts w:ascii="Times New Roman" w:hAnsi="Times New Roman" w:cs="Times New Roman"/>
          <w:bCs/>
          <w:sz w:val="24"/>
        </w:rPr>
        <w:t xml:space="preserve"> 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significantly greater </w:t>
      </w:r>
      <w:r w:rsidR="00B82800" w:rsidRPr="00B8512E">
        <w:rPr>
          <w:rFonts w:ascii="Times New Roman" w:hAnsi="Times New Roman" w:cs="Times New Roman"/>
          <w:bCs/>
          <w:sz w:val="24"/>
        </w:rPr>
        <w:t xml:space="preserve">IOP reduction and </w:t>
      </w:r>
      <w:r w:rsidR="009563AD" w:rsidRPr="00B8512E">
        <w:rPr>
          <w:rFonts w:ascii="Times New Roman" w:hAnsi="Times New Roman" w:cs="Times New Roman"/>
          <w:bCs/>
          <w:sz w:val="24"/>
        </w:rPr>
        <w:t xml:space="preserve">medication reduction than iStent when combined with </w:t>
      </w:r>
      <w:r w:rsidR="00322436" w:rsidRPr="00B8512E">
        <w:rPr>
          <w:rFonts w:ascii="Times New Roman" w:hAnsi="Times New Roman" w:cs="Times New Roman"/>
          <w:bCs/>
          <w:sz w:val="24"/>
        </w:rPr>
        <w:t>phaco</w:t>
      </w:r>
      <w:r w:rsidR="005A7F6D" w:rsidRPr="00B8512E">
        <w:rPr>
          <w:rFonts w:ascii="Times New Roman" w:hAnsi="Times New Roman" w:cs="Times New Roman"/>
          <w:bCs/>
          <w:sz w:val="24"/>
        </w:rPr>
        <w:t xml:space="preserve"> in glaucoma.</w:t>
      </w:r>
    </w:p>
    <w:p w14:paraId="12354C24" w14:textId="5FBCF049" w:rsidR="0099616F" w:rsidRDefault="0099616F">
      <w:pPr>
        <w:rPr>
          <w:bCs/>
        </w:rPr>
      </w:pPr>
    </w:p>
    <w:sectPr w:rsidR="009961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6D4A"/>
    <w:rsid w:val="00011069"/>
    <w:rsid w:val="00011301"/>
    <w:rsid w:val="00013AA1"/>
    <w:rsid w:val="00057EF1"/>
    <w:rsid w:val="00073748"/>
    <w:rsid w:val="00081DF9"/>
    <w:rsid w:val="000A0305"/>
    <w:rsid w:val="001622AE"/>
    <w:rsid w:val="00174105"/>
    <w:rsid w:val="00181F76"/>
    <w:rsid w:val="001A0A94"/>
    <w:rsid w:val="001C24EE"/>
    <w:rsid w:val="001C3BB1"/>
    <w:rsid w:val="001C736F"/>
    <w:rsid w:val="00201F6C"/>
    <w:rsid w:val="002379EA"/>
    <w:rsid w:val="00310385"/>
    <w:rsid w:val="00322436"/>
    <w:rsid w:val="003245B6"/>
    <w:rsid w:val="00412182"/>
    <w:rsid w:val="004140D5"/>
    <w:rsid w:val="00475373"/>
    <w:rsid w:val="00486557"/>
    <w:rsid w:val="004A2802"/>
    <w:rsid w:val="004B326D"/>
    <w:rsid w:val="004C3189"/>
    <w:rsid w:val="00521A1E"/>
    <w:rsid w:val="00524647"/>
    <w:rsid w:val="00543D76"/>
    <w:rsid w:val="005575E4"/>
    <w:rsid w:val="00585FF1"/>
    <w:rsid w:val="005A7F6D"/>
    <w:rsid w:val="005D53EB"/>
    <w:rsid w:val="005E15AD"/>
    <w:rsid w:val="006548FD"/>
    <w:rsid w:val="00666DA8"/>
    <w:rsid w:val="00766D4A"/>
    <w:rsid w:val="007868E3"/>
    <w:rsid w:val="00796C07"/>
    <w:rsid w:val="007B5AF5"/>
    <w:rsid w:val="007E1E79"/>
    <w:rsid w:val="00854175"/>
    <w:rsid w:val="00856FE2"/>
    <w:rsid w:val="008D332B"/>
    <w:rsid w:val="00954A7D"/>
    <w:rsid w:val="009563AD"/>
    <w:rsid w:val="0099616F"/>
    <w:rsid w:val="009B0F04"/>
    <w:rsid w:val="009B593C"/>
    <w:rsid w:val="00A461B2"/>
    <w:rsid w:val="00A94434"/>
    <w:rsid w:val="00AC2FE8"/>
    <w:rsid w:val="00AF30BB"/>
    <w:rsid w:val="00B43A9D"/>
    <w:rsid w:val="00B5559D"/>
    <w:rsid w:val="00B67E7C"/>
    <w:rsid w:val="00B73368"/>
    <w:rsid w:val="00B82800"/>
    <w:rsid w:val="00B8512E"/>
    <w:rsid w:val="00B97605"/>
    <w:rsid w:val="00BB7EC3"/>
    <w:rsid w:val="00BD23EF"/>
    <w:rsid w:val="00C64B1F"/>
    <w:rsid w:val="00C96094"/>
    <w:rsid w:val="00CC11E3"/>
    <w:rsid w:val="00D0691F"/>
    <w:rsid w:val="00D31295"/>
    <w:rsid w:val="00D41DC7"/>
    <w:rsid w:val="00D42150"/>
    <w:rsid w:val="00DF5FE8"/>
    <w:rsid w:val="00E36613"/>
    <w:rsid w:val="00E43FDF"/>
    <w:rsid w:val="00E44979"/>
    <w:rsid w:val="00E77AD0"/>
    <w:rsid w:val="00E872F8"/>
    <w:rsid w:val="00ED56E6"/>
    <w:rsid w:val="00EE6D69"/>
    <w:rsid w:val="00F44CAE"/>
    <w:rsid w:val="00FD2E58"/>
    <w:rsid w:val="00FD627B"/>
    <w:rsid w:val="00FF33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CA1F4"/>
  <w15:chartTrackingRefBased/>
  <w15:docId w15:val="{286F4418-2B18-4366-BF69-C482D0681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40D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C2F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2FE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2F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F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FE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2F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FE8"/>
    <w:rPr>
      <w:rFonts w:ascii="Segoe UI" w:hAnsi="Segoe UI" w:cs="Segoe UI"/>
      <w:sz w:val="18"/>
      <w:szCs w:val="18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8512E"/>
    <w:pPr>
      <w:spacing w:after="0" w:line="240" w:lineRule="auto"/>
    </w:pPr>
    <w:rPr>
      <w:rFonts w:ascii="Times New Roman" w:hAnsi="Times New Roman" w:cs="Times New Roman"/>
      <w:i/>
      <w:iCs/>
      <w:sz w:val="24"/>
      <w:szCs w:val="24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8512E"/>
    <w:rPr>
      <w:rFonts w:ascii="Times New Roman" w:hAnsi="Times New Roman" w:cs="Times New Roman"/>
      <w:i/>
      <w:iCs/>
      <w:sz w:val="24"/>
      <w:szCs w:val="24"/>
    </w:rPr>
  </w:style>
  <w:style w:type="paragraph" w:styleId="ListParagraph">
    <w:name w:val="List Paragraph"/>
    <w:basedOn w:val="Normal"/>
    <w:rsid w:val="00CC11E3"/>
    <w:pPr>
      <w:spacing w:after="0" w:line="240" w:lineRule="auto"/>
      <w:ind w:left="720"/>
      <w:contextualSpacing/>
    </w:pPr>
    <w:rPr>
      <w:rFonts w:eastAsiaTheme="minorEastAsia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72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042E3-1585-EB41-A982-D968CEA9F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1468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Tony Realini</dc:creator>
  <cp:keywords/>
  <dc:description/>
  <cp:lastModifiedBy>Gabriel Lazcano</cp:lastModifiedBy>
  <cp:revision>2</cp:revision>
  <cp:lastPrinted>2017-08-28T15:27:00Z</cp:lastPrinted>
  <dcterms:created xsi:type="dcterms:W3CDTF">2017-10-20T18:25:00Z</dcterms:created>
  <dcterms:modified xsi:type="dcterms:W3CDTF">2017-10-20T18:25:00Z</dcterms:modified>
</cp:coreProperties>
</file>